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117E0" w14:textId="0F6A00A9" w:rsidR="00C45F80" w:rsidRDefault="00C45F80"/>
    <w:p w14:paraId="70A7FDF3" w14:textId="5256A3B5" w:rsidR="00DC1DEB" w:rsidRPr="00A7142C" w:rsidRDefault="00E34A42" w:rsidP="009E11E7">
      <w:pPr>
        <w:pStyle w:val="Prrafodelista"/>
        <w:numPr>
          <w:ilvl w:val="0"/>
          <w:numId w:val="1"/>
        </w:numPr>
        <w:rPr>
          <w:b/>
          <w:bCs/>
        </w:rPr>
      </w:pPr>
      <w:r w:rsidRPr="00A7142C">
        <w:rPr>
          <w:b/>
          <w:bCs/>
        </w:rPr>
        <w:t xml:space="preserve">EVIDENCIA OBLIGACION </w:t>
      </w:r>
    </w:p>
    <w:tbl>
      <w:tblPr>
        <w:tblStyle w:val="Tablaconcuadrcula"/>
        <w:tblW w:w="10065" w:type="dxa"/>
        <w:tblInd w:w="-289" w:type="dxa"/>
        <w:tblLook w:val="04A0" w:firstRow="1" w:lastRow="0" w:firstColumn="1" w:lastColumn="0" w:noHBand="0" w:noVBand="1"/>
      </w:tblPr>
      <w:tblGrid>
        <w:gridCol w:w="522"/>
        <w:gridCol w:w="2271"/>
        <w:gridCol w:w="2590"/>
        <w:gridCol w:w="4682"/>
      </w:tblGrid>
      <w:tr w:rsidR="00C92CF2" w:rsidRPr="008E6FC5" w14:paraId="47577360" w14:textId="77777777" w:rsidTr="002A625F">
        <w:trPr>
          <w:trHeight w:val="212"/>
        </w:trPr>
        <w:tc>
          <w:tcPr>
            <w:tcW w:w="522" w:type="dxa"/>
          </w:tcPr>
          <w:p w14:paraId="545FCD87" w14:textId="77777777" w:rsidR="00C92CF2" w:rsidRPr="008E6FC5" w:rsidRDefault="00C92CF2" w:rsidP="00C92CF2">
            <w:pPr>
              <w:pStyle w:val="Sinespaciad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271" w:type="dxa"/>
          </w:tcPr>
          <w:p w14:paraId="7A5CA089" w14:textId="1D125458" w:rsidR="00C92CF2" w:rsidRPr="008E6FC5" w:rsidRDefault="00C92CF2" w:rsidP="00C92CF2">
            <w:pPr>
              <w:pStyle w:val="Sinespaciado"/>
              <w:rPr>
                <w:rFonts w:ascii="Arial" w:hAnsi="Arial" w:cs="Arial"/>
              </w:rPr>
            </w:pPr>
            <w:r w:rsidRPr="00DF59E8">
              <w:rPr>
                <w:rFonts w:cs="Calibri"/>
                <w:sz w:val="22"/>
                <w:szCs w:val="22"/>
              </w:rPr>
              <w:t>Efectuar la inspección y/o el diagnóstico técnico de la infraestructura física del centro de formación, con el fin de identificar necesidades de mantenimiento, adecuación, ampliación, construcción, intervención estructural, adquisición, o arrendamiento de sedes en los casos en que la infraestructura sea objeto de intervención para reforzamiento estructural, y en general las intervenciones requeridas en la infraestructura física de la entidad con autonomía técnica</w:t>
            </w:r>
          </w:p>
        </w:tc>
        <w:tc>
          <w:tcPr>
            <w:tcW w:w="2590" w:type="dxa"/>
          </w:tcPr>
          <w:p w14:paraId="4E87A892" w14:textId="2C6C3A7F" w:rsidR="00C92CF2" w:rsidRPr="008E6FC5" w:rsidRDefault="00C92CF2" w:rsidP="00C92CF2">
            <w:pPr>
              <w:pStyle w:val="Sinespaciado"/>
              <w:jc w:val="both"/>
              <w:rPr>
                <w:rFonts w:ascii="Arial" w:hAnsi="Arial" w:cs="Arial"/>
              </w:rPr>
            </w:pPr>
            <w:r w:rsidRPr="00F51F5B">
              <w:rPr>
                <w:rFonts w:cs="Calibri"/>
                <w:sz w:val="22"/>
                <w:szCs w:val="22"/>
              </w:rPr>
              <w:t>En ejercicio de la autonomía técnica asignada, se brindó acompañamiento permanente en la ejecución del proyecto de ambientes no convencionales, así como asesoría y apoyo técnico continuo en la estructuración y desarrollo de los procesos contractuales estratégicos del centro de formación, abarcando específicamente el sistema de bombas eyectoras, el mantenimiento integral de ascensores y el proceso de mantenimiento eléctrico; estas acciones permitieron verificar el cumplimiento de los estándares de infraestructura física requeridos, diagnosticar las necesidades de intervención y asegurar la correcta articulación técnica en cada una de las fases de los proyectos de la entidad</w:t>
            </w:r>
            <w:r w:rsidRPr="00032B39">
              <w:rPr>
                <w:rFonts w:cs="Calibri"/>
                <w:sz w:val="22"/>
                <w:szCs w:val="22"/>
              </w:rPr>
              <w:t>.</w:t>
            </w:r>
          </w:p>
        </w:tc>
        <w:tc>
          <w:tcPr>
            <w:tcW w:w="4682" w:type="dxa"/>
          </w:tcPr>
          <w:p w14:paraId="455ACC2B" w14:textId="7FFE8A62" w:rsidR="00C92CF2" w:rsidRPr="008E6FC5" w:rsidRDefault="00C92CF2" w:rsidP="00C92CF2">
            <w:pPr>
              <w:tabs>
                <w:tab w:val="num" w:pos="720"/>
              </w:tabs>
              <w:autoSpaceDE w:val="0"/>
              <w:autoSpaceDN w:val="0"/>
              <w:jc w:val="both"/>
              <w:rPr>
                <w:rFonts w:ascii="Arial" w:hAnsi="Arial" w:cs="Arial"/>
              </w:rPr>
            </w:pPr>
            <w:r w:rsidRPr="00F51F5B">
              <w:rPr>
                <w:rFonts w:cs="Calibri"/>
                <w:sz w:val="22"/>
                <w:szCs w:val="22"/>
              </w:rPr>
              <w:t>El cumplimiento de estas actividades de acompañamiento y diagnóstico se respalda mediante el informe técnico detallado de gestión, los documentos técnicos, memorias o fichas estructuradas para los procesos de bombas eyectoras, ascensores y redes eléctricas,</w:t>
            </w:r>
            <w:r>
              <w:rPr>
                <w:rFonts w:cs="Calibri"/>
                <w:sz w:val="22"/>
                <w:szCs w:val="22"/>
              </w:rPr>
              <w:t xml:space="preserve"> así como de mantenimientos de tanques, redes hidrosanitarias y cuartos de almacenamiento</w:t>
            </w:r>
            <w:r w:rsidRPr="00F51F5B">
              <w:rPr>
                <w:rFonts w:cs="Calibri"/>
                <w:sz w:val="22"/>
                <w:szCs w:val="22"/>
              </w:rPr>
              <w:t xml:space="preserve"> el registro fotográfico de las verificaciones realizadas en los ambientes no convencionales y el acta de asistencia firmada por los participantes durante los recorridos de inspección en las instalaciones.</w:t>
            </w:r>
          </w:p>
        </w:tc>
      </w:tr>
    </w:tbl>
    <w:p w14:paraId="0F7A5C0E" w14:textId="37FC6708" w:rsidR="00DC1DEB" w:rsidRDefault="00DC1DEB"/>
    <w:p w14:paraId="7CEAEF98" w14:textId="5A67E990" w:rsidR="009D548F" w:rsidRDefault="009D548F"/>
    <w:p w14:paraId="3554F556" w14:textId="2CD8F9D3" w:rsidR="00010E86" w:rsidRDefault="00010E86"/>
    <w:p w14:paraId="13571DA5" w14:textId="77777777" w:rsidR="00853967" w:rsidRDefault="00853967"/>
    <w:sectPr w:rsidR="00853967" w:rsidSect="007254D4">
      <w:pgSz w:w="12240" w:h="15840"/>
      <w:pgMar w:top="1560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1A4A1A"/>
    <w:multiLevelType w:val="hybridMultilevel"/>
    <w:tmpl w:val="A11084F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23161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DEB"/>
    <w:rsid w:val="0000258D"/>
    <w:rsid w:val="00010E86"/>
    <w:rsid w:val="00074845"/>
    <w:rsid w:val="00075F3C"/>
    <w:rsid w:val="000A571B"/>
    <w:rsid w:val="000B73EC"/>
    <w:rsid w:val="000D047C"/>
    <w:rsid w:val="000D3C06"/>
    <w:rsid w:val="000F35C0"/>
    <w:rsid w:val="00110D52"/>
    <w:rsid w:val="00131CBD"/>
    <w:rsid w:val="00161EEB"/>
    <w:rsid w:val="00192326"/>
    <w:rsid w:val="00196327"/>
    <w:rsid w:val="001B25CA"/>
    <w:rsid w:val="001F1769"/>
    <w:rsid w:val="0021319E"/>
    <w:rsid w:val="00286CF5"/>
    <w:rsid w:val="002E7AB7"/>
    <w:rsid w:val="0035166C"/>
    <w:rsid w:val="0037137F"/>
    <w:rsid w:val="003E1CE6"/>
    <w:rsid w:val="003E3A92"/>
    <w:rsid w:val="003F4192"/>
    <w:rsid w:val="004171FD"/>
    <w:rsid w:val="00433E05"/>
    <w:rsid w:val="00470D6A"/>
    <w:rsid w:val="00482D70"/>
    <w:rsid w:val="00497945"/>
    <w:rsid w:val="004C7F36"/>
    <w:rsid w:val="004D22FF"/>
    <w:rsid w:val="004D41A1"/>
    <w:rsid w:val="004D41F3"/>
    <w:rsid w:val="004D557E"/>
    <w:rsid w:val="0051370A"/>
    <w:rsid w:val="00516D1B"/>
    <w:rsid w:val="005454FF"/>
    <w:rsid w:val="00585732"/>
    <w:rsid w:val="005B1F6E"/>
    <w:rsid w:val="005C0C26"/>
    <w:rsid w:val="006350FE"/>
    <w:rsid w:val="00681A2B"/>
    <w:rsid w:val="006D7641"/>
    <w:rsid w:val="007254D4"/>
    <w:rsid w:val="00725867"/>
    <w:rsid w:val="00750BDF"/>
    <w:rsid w:val="007E52B4"/>
    <w:rsid w:val="00832BB4"/>
    <w:rsid w:val="008409D8"/>
    <w:rsid w:val="00853967"/>
    <w:rsid w:val="00854CD4"/>
    <w:rsid w:val="00885415"/>
    <w:rsid w:val="008871E9"/>
    <w:rsid w:val="008B4EE7"/>
    <w:rsid w:val="008E5ED0"/>
    <w:rsid w:val="00905968"/>
    <w:rsid w:val="00915CDE"/>
    <w:rsid w:val="00922628"/>
    <w:rsid w:val="0094397C"/>
    <w:rsid w:val="00953C52"/>
    <w:rsid w:val="009739D2"/>
    <w:rsid w:val="00987401"/>
    <w:rsid w:val="009C0F6D"/>
    <w:rsid w:val="009D548F"/>
    <w:rsid w:val="009E11E7"/>
    <w:rsid w:val="00A22DBB"/>
    <w:rsid w:val="00A400E2"/>
    <w:rsid w:val="00A7142C"/>
    <w:rsid w:val="00A931CE"/>
    <w:rsid w:val="00A95D6E"/>
    <w:rsid w:val="00AC567E"/>
    <w:rsid w:val="00B115F6"/>
    <w:rsid w:val="00B32289"/>
    <w:rsid w:val="00B40F52"/>
    <w:rsid w:val="00B45AFE"/>
    <w:rsid w:val="00B534F0"/>
    <w:rsid w:val="00B62685"/>
    <w:rsid w:val="00B936E6"/>
    <w:rsid w:val="00BD3C35"/>
    <w:rsid w:val="00BE6076"/>
    <w:rsid w:val="00BF75AC"/>
    <w:rsid w:val="00C25BC0"/>
    <w:rsid w:val="00C45F80"/>
    <w:rsid w:val="00C8642F"/>
    <w:rsid w:val="00C8754C"/>
    <w:rsid w:val="00C92CF2"/>
    <w:rsid w:val="00CA21D1"/>
    <w:rsid w:val="00CA65E1"/>
    <w:rsid w:val="00D40816"/>
    <w:rsid w:val="00D7234E"/>
    <w:rsid w:val="00D96455"/>
    <w:rsid w:val="00DB38DD"/>
    <w:rsid w:val="00DC1DEB"/>
    <w:rsid w:val="00DC5C07"/>
    <w:rsid w:val="00DF6EE9"/>
    <w:rsid w:val="00E26CF4"/>
    <w:rsid w:val="00E30146"/>
    <w:rsid w:val="00E34A42"/>
    <w:rsid w:val="00E46338"/>
    <w:rsid w:val="00E617AD"/>
    <w:rsid w:val="00E64D78"/>
    <w:rsid w:val="00E74792"/>
    <w:rsid w:val="00F05721"/>
    <w:rsid w:val="00F4510E"/>
    <w:rsid w:val="00FA0296"/>
    <w:rsid w:val="00FA5396"/>
    <w:rsid w:val="00FE360B"/>
    <w:rsid w:val="00FE7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871F6"/>
  <w15:chartTrackingRefBased/>
  <w15:docId w15:val="{FE5F0C8B-67ED-4F17-8D52-99A97693A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1DEB"/>
    <w:pPr>
      <w:spacing w:after="200" w:line="276" w:lineRule="auto"/>
    </w:pPr>
    <w:rPr>
      <w:rFonts w:ascii="Calibri" w:eastAsia="Calibri" w:hAnsi="Calibri" w:cs="Times New Roman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DC1DEB"/>
    <w:pPr>
      <w:spacing w:after="0" w:line="240" w:lineRule="auto"/>
    </w:pPr>
    <w:rPr>
      <w:rFonts w:ascii="Calibri" w:eastAsia="Calibri" w:hAnsi="Calibri" w:cs="Times New Roman"/>
      <w:sz w:val="20"/>
      <w:szCs w:val="20"/>
      <w:lang w:val="es-CO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link w:val="SinespaciadoCar"/>
    <w:qFormat/>
    <w:rsid w:val="00DC1DEB"/>
    <w:pPr>
      <w:spacing w:after="0" w:line="240" w:lineRule="auto"/>
    </w:pPr>
    <w:rPr>
      <w:rFonts w:eastAsiaTheme="minorEastAsia"/>
      <w:lang w:val="es-CO"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DC1DEB"/>
    <w:rPr>
      <w:rFonts w:eastAsiaTheme="minorEastAsia"/>
      <w:lang w:val="es-CO" w:eastAsia="es-CO"/>
    </w:rPr>
  </w:style>
  <w:style w:type="table" w:customStyle="1" w:styleId="TableNormal">
    <w:name w:val="Table Normal"/>
    <w:uiPriority w:val="2"/>
    <w:semiHidden/>
    <w:unhideWhenUsed/>
    <w:qFormat/>
    <w:rsid w:val="00DC5C07"/>
    <w:pPr>
      <w:widowControl w:val="0"/>
      <w:autoSpaceDE w:val="0"/>
      <w:autoSpaceDN w:val="0"/>
      <w:spacing w:after="0" w:line="240" w:lineRule="auto"/>
    </w:pPr>
    <w:rPr>
      <w:rFonts w:eastAsia="Times New Roman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34"/>
    <w:qFormat/>
    <w:rsid w:val="009E11E7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A95D6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95D6E"/>
    <w:rPr>
      <w:rFonts w:ascii="Calibri" w:eastAsia="Calibri" w:hAnsi="Calibri" w:cs="Times New Roman"/>
      <w:lang w:val="es-CO"/>
    </w:rPr>
  </w:style>
  <w:style w:type="paragraph" w:styleId="NormalWeb">
    <w:name w:val="Normal (Web)"/>
    <w:basedOn w:val="Normal"/>
    <w:uiPriority w:val="99"/>
    <w:semiHidden/>
    <w:unhideWhenUsed/>
    <w:rsid w:val="00922628"/>
    <w:rPr>
      <w:rFonts w:ascii="Times New Roman" w:hAnsi="Times New Roman"/>
      <w:sz w:val="24"/>
      <w:szCs w:val="24"/>
    </w:rPr>
  </w:style>
  <w:style w:type="paragraph" w:styleId="Ttulo">
    <w:name w:val="Title"/>
    <w:basedOn w:val="Normal"/>
    <w:next w:val="Normal"/>
    <w:link w:val="TtuloCar"/>
    <w:uiPriority w:val="10"/>
    <w:qFormat/>
    <w:rsid w:val="00110D52"/>
    <w:pPr>
      <w:keepNext/>
      <w:keepLines/>
      <w:spacing w:before="480" w:after="120"/>
      <w:jc w:val="both"/>
    </w:pPr>
    <w:rPr>
      <w:rFonts w:cs="Calibri"/>
      <w:b/>
      <w:sz w:val="72"/>
      <w:szCs w:val="72"/>
      <w:lang w:eastAsia="es-CO"/>
    </w:rPr>
  </w:style>
  <w:style w:type="character" w:customStyle="1" w:styleId="TtuloCar">
    <w:name w:val="Título Car"/>
    <w:basedOn w:val="Fuentedeprrafopredeter"/>
    <w:link w:val="Ttulo"/>
    <w:uiPriority w:val="10"/>
    <w:rsid w:val="00110D52"/>
    <w:rPr>
      <w:rFonts w:ascii="Calibri" w:eastAsia="Calibri" w:hAnsi="Calibri" w:cs="Calibri"/>
      <w:b/>
      <w:sz w:val="72"/>
      <w:szCs w:val="72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834</TotalTime>
  <Pages>1</Pages>
  <Words>266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Cesar Ivan Torres Avila</dc:creator>
  <cp:keywords/>
  <dc:description/>
  <cp:lastModifiedBy>Shirly Paola Indira Morales Ruiz</cp:lastModifiedBy>
  <cp:revision>69</cp:revision>
  <dcterms:created xsi:type="dcterms:W3CDTF">2022-08-23T13:48:00Z</dcterms:created>
  <dcterms:modified xsi:type="dcterms:W3CDTF">2026-06-19T16:11:00Z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2025-03-19T01:28:17Z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e844c96c-b3ca-4405-94dc-177c6bc44691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